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4">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direct award works</w:t>
      </w:r>
    </w:p>
    <w:p w:rsidR="00000000" w:rsidDel="00000000" w:rsidP="00000000" w:rsidRDefault="00000000" w:rsidRPr="00000000" w14:paraId="0000000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0F">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054"/>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 a Statement of Requirements setting out its requirements for the Deliverables and use the filtering tool to identify the Suppliers capable of supplying the Service Lines relevant to the Statement of Requirements;</w:t>
      </w:r>
    </w:p>
    <w:p w:rsidR="00000000" w:rsidDel="00000000" w:rsidP="00000000" w:rsidRDefault="00000000" w:rsidRPr="00000000" w14:paraId="00000010">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054"/>
        </w:tabs>
        <w:spacing w:after="120" w:before="120" w:lineRule="auto"/>
        <w:ind w:left="2610"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apply the direct award criteria to the Suppliers’ description of the Deliverables as set out in Framework Schedule 1 (Specification) to all Suppliers capable of meeting the Statement of Requirements in order to establish which Supplier provides the most economically advantageous solution; and</w:t>
      </w:r>
    </w:p>
    <w:p w:rsidR="00000000" w:rsidDel="00000000" w:rsidP="00000000" w:rsidRDefault="00000000" w:rsidRPr="00000000" w14:paraId="00000011">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054"/>
        </w:tabs>
        <w:spacing w:after="120" w:before="120" w:lineRule="auto"/>
        <w:ind w:left="2610"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2">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13">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4">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5">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develop a Statement of Requirements setting out its requirements for the Deliverables and use the filtering tool to identify the Suppliers capable of supplying the Service Lines relevant to the Statement of Requirements;</w:t>
      </w:r>
    </w:p>
    <w:p w:rsidR="00000000" w:rsidDel="00000000" w:rsidP="00000000" w:rsidRDefault="00000000" w:rsidRPr="00000000" w14:paraId="0000001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7">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9">
      <w:pPr>
        <w:keepNext w:val="1"/>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A">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B">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C">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D">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E">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1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3">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4">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7">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A">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B">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C">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D">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E">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2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1">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2">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3">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4">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5">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36">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8">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9">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A">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B">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C">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D">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E">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3F">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0">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1">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3">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4">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5">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6">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7">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A">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B">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C">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D">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4E">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4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0">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3">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4">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5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6">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7">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8">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9">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B">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C">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D">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E">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1">
      <w:pPr>
        <w:pageBreakBefore w:val="0"/>
        <w:widowControl w:val="1"/>
        <w:numPr>
          <w:ilvl w:val="0"/>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2">
      <w:pPr>
        <w:pageBreakBefore w:val="0"/>
        <w:widowControl w:val="1"/>
        <w:numPr>
          <w:ilvl w:val="0"/>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3">
      <w:pPr>
        <w:pageBreakBefore w:val="0"/>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keepNext w:val="1"/>
        <w:pageBreakBefore w:val="0"/>
        <w:widowControl w:val="1"/>
        <w:pBdr>
          <w:top w:space="0" w:sz="0" w:val="nil"/>
          <w:left w:space="0" w:sz="0" w:val="nil"/>
          <w:bottom w:space="0" w:sz="0" w:val="nil"/>
          <w:right w:space="0" w:sz="0" w:val="nil"/>
          <w:between w:space="0" w:sz="0" w:val="nil"/>
        </w:pBdr>
        <w:spacing w:after="240" w:before="240" w:lineRule="auto"/>
        <w:ind w:firstLine="42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65">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p w:rsidR="00000000" w:rsidDel="00000000" w:rsidP="00000000" w:rsidRDefault="00000000" w:rsidRPr="00000000" w14:paraId="00000066">
      <w:pPr>
        <w:widowControl w:val="1"/>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percentage weightings for price, quality and social value (if applicable) should total 100%]</w:t>
      </w:r>
    </w:p>
    <w:sdt>
      <w:sdtPr>
        <w:lock w:val="contentLocked"/>
        <w:tag w:val="goog_rdk_0"/>
      </w:sdtPr>
      <w:sdtContent>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
            <w:gridCol w:w="6540"/>
            <w:tblGridChange w:id="0">
              <w:tblGrid>
                <w:gridCol w:w="2325"/>
                <w:gridCol w:w="6540"/>
              </w:tblGrid>
            </w:tblGridChange>
          </w:tblGrid>
          <w:tr>
            <w:trPr>
              <w:cantSplit w:val="0"/>
              <w:trHeight w:val="615" w:hRule="atLeast"/>
              <w:tblHeader w:val="1"/>
            </w:trPr>
            <w:tc>
              <w:tcPr>
                <w:tcBorders>
                  <w:top w:color="000000" w:space="0" w:sz="6" w:val="single"/>
                  <w:left w:color="000000" w:space="0" w:sz="6" w:val="single"/>
                  <w:bottom w:color="000000" w:space="0" w:sz="6" w:val="single"/>
                  <w:right w:color="000000" w:space="0" w:sz="6" w:val="single"/>
                </w:tcBorders>
                <w:shd w:fill="e7e6e6" w:val="clear"/>
                <w:tcMar>
                  <w:top w:w="0.0" w:type="dxa"/>
                  <w:left w:w="120.0" w:type="dxa"/>
                  <w:bottom w:w="0.0" w:type="dxa"/>
                  <w:right w:w="120.0" w:type="dxa"/>
                </w:tcMar>
              </w:tcPr>
              <w:p w:rsidR="00000000" w:rsidDel="00000000" w:rsidP="00000000" w:rsidRDefault="00000000" w:rsidRPr="00000000" w14:paraId="00000067">
                <w:pPr>
                  <w:widowControl w:val="1"/>
                  <w:tabs>
                    <w:tab w:val="left" w:leader="none" w:pos="851"/>
                  </w:tabs>
                  <w:spacing w:after="120" w:before="120" w:lineRule="auto"/>
                  <w:ind w:left="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6" w:val="single"/>
                  <w:left w:color="000000" w:space="0" w:sz="0" w:val="nil"/>
                  <w:bottom w:color="000000" w:space="0" w:sz="6" w:val="single"/>
                  <w:right w:color="000000" w:space="0" w:sz="6" w:val="single"/>
                </w:tcBorders>
                <w:shd w:fill="e7e6e6" w:val="clear"/>
                <w:tcMar>
                  <w:top w:w="0.0" w:type="dxa"/>
                  <w:left w:w="120.0" w:type="dxa"/>
                  <w:bottom w:w="0.0" w:type="dxa"/>
                  <w:right w:w="120.0" w:type="dxa"/>
                </w:tcMar>
              </w:tcPr>
              <w:p w:rsidR="00000000" w:rsidDel="00000000" w:rsidP="00000000" w:rsidRDefault="00000000" w:rsidRPr="00000000" w14:paraId="00000068">
                <w:pPr>
                  <w:widowControl w:val="1"/>
                  <w:tabs>
                    <w:tab w:val="left" w:leader="none" w:pos="851"/>
                  </w:tabs>
                  <w:spacing w:after="200" w:before="120" w:line="276" w:lineRule="auto"/>
                  <w:ind w:left="-120" w:firstLine="0"/>
                  <w:jc w:val="both"/>
                  <w:rPr>
                    <w:rFonts w:ascii="Arial" w:cs="Arial" w:eastAsia="Arial" w:hAnsi="Arial"/>
                    <w:sz w:val="24"/>
                    <w:szCs w:val="24"/>
                    <w:highlight w:val="red"/>
                  </w:rPr>
                </w:pPr>
                <w:r w:rsidDel="00000000" w:rsidR="00000000" w:rsidRPr="00000000">
                  <w:rPr>
                    <w:rFonts w:ascii="Arial" w:cs="Arial" w:eastAsia="Arial" w:hAnsi="Arial"/>
                    <w:b w:val="1"/>
                    <w:sz w:val="24"/>
                    <w:szCs w:val="24"/>
                    <w:rtl w:val="0"/>
                  </w:rPr>
                  <w:t xml:space="preserve">  Relative weighting percentage (0% to 100%)</w:t>
                </w:r>
                <w:r w:rsidDel="00000000" w:rsidR="00000000" w:rsidRPr="00000000">
                  <w:rPr>
                    <w:rtl w:val="0"/>
                  </w:rPr>
                </w:r>
              </w:p>
            </w:tc>
          </w:tr>
          <w:tr>
            <w:trPr>
              <w:cantSplit w:val="0"/>
              <w:trHeight w:val="169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69">
                <w:pPr>
                  <w:widowControl w:val="1"/>
                  <w:tabs>
                    <w:tab w:val="left" w:leader="none" w:pos="851"/>
                  </w:tabs>
                  <w:spacing w:after="280" w:before="120" w:line="249.60000000000002"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Buyer believes that the Supplier provides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the most economically advantageous tender, which may include but is not limited to:</w:t>
                </w:r>
              </w:p>
              <w:p w:rsidR="00000000" w:rsidDel="00000000" w:rsidP="00000000" w:rsidRDefault="00000000" w:rsidRPr="00000000" w14:paraId="0000006A">
                <w:pPr>
                  <w:widowControl w:val="1"/>
                  <w:numPr>
                    <w:ilvl w:val="0"/>
                    <w:numId w:val="2"/>
                  </w:numPr>
                  <w:tabs>
                    <w:tab w:val="left" w:leader="none" w:pos="851"/>
                  </w:tabs>
                  <w:spacing w:after="0" w:afterAutospacing="0" w:before="120" w:line="249.60000000000002"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cost effectiveness </w:t>
                </w:r>
              </w:p>
              <w:p w:rsidR="00000000" w:rsidDel="00000000" w:rsidP="00000000" w:rsidRDefault="00000000" w:rsidRPr="00000000" w14:paraId="0000006B">
                <w:pPr>
                  <w:widowControl w:val="1"/>
                  <w:numPr>
                    <w:ilvl w:val="0"/>
                    <w:numId w:val="2"/>
                  </w:numPr>
                  <w:tabs>
                    <w:tab w:val="left" w:leader="none" w:pos="851"/>
                  </w:tabs>
                  <w:spacing w:after="0" w:afterAutospacing="0" w:before="0" w:beforeAutospacing="0" w:line="249.60000000000002"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 </w:t>
                </w:r>
              </w:p>
              <w:p w:rsidR="00000000" w:rsidDel="00000000" w:rsidP="00000000" w:rsidRDefault="00000000" w:rsidRPr="00000000" w14:paraId="0000006C">
                <w:pPr>
                  <w:widowControl w:val="1"/>
                  <w:numPr>
                    <w:ilvl w:val="0"/>
                    <w:numId w:val="2"/>
                  </w:numPr>
                  <w:tabs>
                    <w:tab w:val="left" w:leader="none" w:pos="851"/>
                  </w:tabs>
                  <w:spacing w:after="0" w:afterAutospacing="0" w:before="0" w:beforeAutospacing="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quality</w:t>
                </w:r>
              </w:p>
              <w:p w:rsidR="00000000" w:rsidDel="00000000" w:rsidP="00000000" w:rsidRDefault="00000000" w:rsidRPr="00000000" w14:paraId="0000006D">
                <w:pPr>
                  <w:widowControl w:val="1"/>
                  <w:numPr>
                    <w:ilvl w:val="0"/>
                    <w:numId w:val="2"/>
                  </w:numPr>
                  <w:tabs>
                    <w:tab w:val="left" w:leader="none" w:pos="851"/>
                  </w:tabs>
                  <w:spacing w:after="0" w:afterAutospacing="0" w:before="0" w:beforeAutospacing="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social value </w:t>
                </w:r>
              </w:p>
              <w:p w:rsidR="00000000" w:rsidDel="00000000" w:rsidP="00000000" w:rsidRDefault="00000000" w:rsidRPr="00000000" w14:paraId="0000006E">
                <w:pPr>
                  <w:widowControl w:val="1"/>
                  <w:numPr>
                    <w:ilvl w:val="0"/>
                    <w:numId w:val="2"/>
                  </w:numPr>
                  <w:tabs>
                    <w:tab w:val="left" w:leader="none" w:pos="851"/>
                  </w:tabs>
                  <w:spacing w:after="120" w:before="0" w:beforeAutospacing="0" w:lineRule="auto"/>
                  <w:ind w:left="720" w:hanging="36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value for money </w:t>
                </w:r>
                <w:r w:rsidDel="00000000" w:rsidR="00000000" w:rsidRPr="00000000">
                  <w:rPr>
                    <w:rFonts w:ascii="Arial" w:cs="Arial" w:eastAsia="Arial" w:hAnsi="Arial"/>
                    <w:sz w:val="24"/>
                    <w:szCs w:val="24"/>
                    <w:highlight w:val="red"/>
                    <w:rtl w:val="0"/>
                  </w:rPr>
                  <w:t xml:space="preserve"> </w:t>
                </w:r>
                <w:r w:rsidDel="00000000" w:rsidR="00000000" w:rsidRPr="00000000">
                  <w:rPr>
                    <w:rtl w:val="0"/>
                  </w:rPr>
                </w:r>
              </w:p>
            </w:tc>
          </w:tr>
        </w:tbl>
      </w:sdtContent>
    </w:sdt>
    <w:p w:rsidR="00000000" w:rsidDel="00000000" w:rsidP="00000000" w:rsidRDefault="00000000" w:rsidRPr="00000000" w14:paraId="00000070">
      <w:pPr>
        <w:keepNext w:val="1"/>
        <w:widowControl w:val="1"/>
        <w:spacing w:after="240" w:befor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1">
      <w:pPr>
        <w:pageBreakBefore w:val="0"/>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pageBreakBefore w:val="0"/>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B: Further Competition Award Criteria</w:t>
      </w:r>
    </w:p>
    <w:p w:rsidR="00000000" w:rsidDel="00000000" w:rsidP="00000000" w:rsidRDefault="00000000" w:rsidRPr="00000000" w14:paraId="00000073">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74">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1f1f1f"/>
          <w:sz w:val="24"/>
          <w:szCs w:val="24"/>
          <w:highlight w:val="white"/>
        </w:rPr>
      </w:pPr>
      <w:r w:rsidDel="00000000" w:rsidR="00000000" w:rsidRPr="00000000">
        <w:rPr>
          <w:rFonts w:ascii="Arial" w:cs="Arial" w:eastAsia="Arial" w:hAnsi="Arial"/>
          <w:b w:val="1"/>
          <w:color w:val="1f1f1f"/>
          <w:sz w:val="24"/>
          <w:szCs w:val="24"/>
          <w:highlight w:val="white"/>
          <w:rtl w:val="0"/>
        </w:rPr>
        <w:t xml:space="preserve">[</w:t>
      </w:r>
      <w:r w:rsidDel="00000000" w:rsidR="00000000" w:rsidRPr="00000000">
        <w:rPr>
          <w:rFonts w:ascii="Arial" w:cs="Arial" w:eastAsia="Arial" w:hAnsi="Arial"/>
          <w:b w:val="1"/>
          <w:color w:val="1f1f1f"/>
          <w:sz w:val="24"/>
          <w:szCs w:val="24"/>
          <w:highlight w:val="yellow"/>
          <w:rtl w:val="0"/>
        </w:rPr>
        <w:t xml:space="preserve">Buyer Guidance:</w:t>
      </w:r>
      <w:r w:rsidDel="00000000" w:rsidR="00000000" w:rsidRPr="00000000">
        <w:rPr>
          <w:rFonts w:ascii="Arial" w:cs="Arial" w:eastAsia="Arial" w:hAnsi="Arial"/>
          <w:color w:val="1f1f1f"/>
          <w:sz w:val="24"/>
          <w:szCs w:val="24"/>
          <w:highlight w:val="white"/>
          <w:rtl w:val="0"/>
        </w:rPr>
        <w:t xml:space="preserve"> the percentage weightings for price, quality and social value (if applicable) should total 100%. The Buyer shall select the quality sub criteria from the list below which best meets their requirements.</w:t>
      </w:r>
    </w:p>
    <w:p w:rsidR="00000000" w:rsidDel="00000000" w:rsidP="00000000" w:rsidRDefault="00000000" w:rsidRPr="00000000" w14:paraId="00000075">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color w:val="1f1f1f"/>
          <w:sz w:val="24"/>
          <w:szCs w:val="24"/>
          <w:highlight w:val="white"/>
          <w:rtl w:val="0"/>
        </w:rPr>
        <w:t xml:space="preserve">If a Buyer does not use relative percentage weightings then the percentage weightings shall not apply.]</w:t>
      </w:r>
      <w:r w:rsidDel="00000000" w:rsidR="00000000" w:rsidRPr="00000000">
        <w:rPr>
          <w:rtl w:val="0"/>
        </w:rPr>
      </w:r>
    </w:p>
    <w:tbl>
      <w:tblPr>
        <w:tblStyle w:val="Table2"/>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4560"/>
        <w:tblGridChange w:id="0">
          <w:tblGrid>
            <w:gridCol w:w="4305"/>
            <w:gridCol w:w="4560"/>
          </w:tblGrid>
        </w:tblGridChange>
      </w:tblGrid>
      <w:tr>
        <w:trPr>
          <w:cantSplit w:val="0"/>
          <w:trHeight w:val="615" w:hRule="atLeast"/>
          <w:tblHeader w:val="1"/>
        </w:trPr>
        <w:tc>
          <w:tcPr>
            <w:tcBorders>
              <w:top w:color="000000" w:space="0" w:sz="6" w:val="single"/>
              <w:left w:color="000000" w:space="0" w:sz="6" w:val="single"/>
              <w:bottom w:color="000000" w:space="0" w:sz="6" w:val="single"/>
              <w:right w:color="000000" w:space="0" w:sz="6" w:val="single"/>
            </w:tcBorders>
            <w:shd w:fill="e7e6e6" w:val="clear"/>
            <w:tcMar>
              <w:top w:w="0.0" w:type="dxa"/>
              <w:left w:w="120.0" w:type="dxa"/>
              <w:bottom w:w="0.0" w:type="dxa"/>
              <w:right w:w="100.0" w:type="dxa"/>
            </w:tcMar>
          </w:tcPr>
          <w:p w:rsidR="00000000" w:rsidDel="00000000" w:rsidP="00000000" w:rsidRDefault="00000000" w:rsidRPr="00000000" w14:paraId="00000076">
            <w:pPr>
              <w:widowControl w:val="1"/>
              <w:tabs>
                <w:tab w:val="left" w:leader="none" w:pos="851"/>
              </w:tabs>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6" w:val="single"/>
              <w:left w:color="000000" w:space="0" w:sz="0" w:val="nil"/>
              <w:bottom w:color="000000" w:space="0" w:sz="6" w:val="single"/>
              <w:right w:color="000000" w:space="0" w:sz="6" w:val="single"/>
            </w:tcBorders>
            <w:shd w:fill="e7e6e6" w:val="clear"/>
            <w:tcMar>
              <w:top w:w="0.0" w:type="dxa"/>
              <w:left w:w="120.0" w:type="dxa"/>
              <w:bottom w:w="0.0" w:type="dxa"/>
              <w:right w:w="100.0" w:type="dxa"/>
            </w:tcMar>
          </w:tcPr>
          <w:p w:rsidR="00000000" w:rsidDel="00000000" w:rsidP="00000000" w:rsidRDefault="00000000" w:rsidRPr="00000000" w14:paraId="00000077">
            <w:pPr>
              <w:widowControl w:val="1"/>
              <w:tabs>
                <w:tab w:val="left" w:leader="none" w:pos="851"/>
              </w:tabs>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Percentage Weightings </w:t>
            </w:r>
          </w:p>
          <w:p w:rsidR="00000000" w:rsidDel="00000000" w:rsidP="00000000" w:rsidRDefault="00000000" w:rsidRPr="00000000" w14:paraId="00000078">
            <w:pPr>
              <w:widowControl w:val="1"/>
              <w:tabs>
                <w:tab w:val="left" w:leader="none" w:pos="851"/>
              </w:tabs>
              <w:spacing w:after="120" w:before="240" w:lineRule="auto"/>
              <w:ind w:left="20" w:right="224.7637795275591" w:firstLine="0"/>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Buyers can choose a percentage weighting to meet their requirements. </w:t>
            </w:r>
            <w:r w:rsidDel="00000000" w:rsidR="00000000" w:rsidRPr="00000000">
              <w:rPr>
                <w:rtl w:val="0"/>
              </w:rPr>
            </w:r>
          </w:p>
        </w:tc>
      </w:tr>
      <w:tr>
        <w:trPr>
          <w:cantSplit w:val="0"/>
          <w:trHeight w:val="169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79">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A">
            <w:pPr>
              <w:widowControl w:val="1"/>
              <w:numPr>
                <w:ilvl w:val="0"/>
                <w:numId w:val="1"/>
              </w:numPr>
              <w:tabs>
                <w:tab w:val="left" w:leader="none" w:pos="851"/>
              </w:tabs>
              <w:spacing w:before="240" w:lineRule="auto"/>
              <w:ind w:left="72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Sub criteria: </w:t>
            </w:r>
          </w:p>
          <w:p w:rsidR="00000000" w:rsidDel="00000000" w:rsidP="00000000" w:rsidRDefault="00000000" w:rsidRPr="00000000" w14:paraId="0000007B">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[Knowledge transfer]</w:t>
            </w:r>
            <w:r w:rsidDel="00000000" w:rsidR="00000000" w:rsidRPr="00000000">
              <w:rPr>
                <w:rtl w:val="0"/>
              </w:rPr>
            </w:r>
          </w:p>
          <w:p w:rsidR="00000000" w:rsidDel="00000000" w:rsidP="00000000" w:rsidRDefault="00000000" w:rsidRPr="00000000" w14:paraId="0000007C">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[Methodology and approach]</w:t>
            </w:r>
            <w:r w:rsidDel="00000000" w:rsidR="00000000" w:rsidRPr="00000000">
              <w:rPr>
                <w:rtl w:val="0"/>
              </w:rPr>
            </w:r>
          </w:p>
          <w:p w:rsidR="00000000" w:rsidDel="00000000" w:rsidP="00000000" w:rsidRDefault="00000000" w:rsidRPr="00000000" w14:paraId="0000007D">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[Mobilisation] </w:t>
            </w:r>
            <w:r w:rsidDel="00000000" w:rsidR="00000000" w:rsidRPr="00000000">
              <w:rPr>
                <w:rtl w:val="0"/>
              </w:rPr>
            </w:r>
          </w:p>
          <w:p w:rsidR="00000000" w:rsidDel="00000000" w:rsidP="00000000" w:rsidRDefault="00000000" w:rsidRPr="00000000" w14:paraId="0000007E">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[Project management]</w:t>
            </w:r>
            <w:r w:rsidDel="00000000" w:rsidR="00000000" w:rsidRPr="00000000">
              <w:rPr>
                <w:rtl w:val="0"/>
              </w:rPr>
            </w:r>
          </w:p>
          <w:p w:rsidR="00000000" w:rsidDel="00000000" w:rsidP="00000000" w:rsidRDefault="00000000" w:rsidRPr="00000000" w14:paraId="0000007F">
            <w:pPr>
              <w:widowControl w:val="1"/>
              <w:numPr>
                <w:ilvl w:val="1"/>
                <w:numId w:val="1"/>
              </w:numPr>
              <w:shd w:fill="ffffff" w:val="clear"/>
              <w:tabs>
                <w:tab w:val="left" w:leader="none" w:pos="851"/>
              </w:tabs>
              <w:ind w:left="1440" w:hanging="360"/>
              <w:jc w:val="both"/>
              <w:rPr>
                <w:rFonts w:ascii="Arial" w:cs="Arial" w:eastAsia="Arial" w:hAnsi="Arial"/>
                <w:color w:val="222222"/>
                <w:sz w:val="24"/>
                <w:szCs w:val="24"/>
              </w:rPr>
            </w:pPr>
            <w:r w:rsidDel="00000000" w:rsidR="00000000" w:rsidRPr="00000000">
              <w:rPr>
                <w:rFonts w:ascii="Arial" w:cs="Arial" w:eastAsia="Arial" w:hAnsi="Arial"/>
                <w:sz w:val="24"/>
                <w:szCs w:val="24"/>
                <w:highlight w:val="yellow"/>
                <w:rtl w:val="0"/>
              </w:rPr>
              <w:t xml:space="preserve">[Resource allocation]   </w:t>
            </w:r>
            <w:r w:rsidDel="00000000" w:rsidR="00000000" w:rsidRPr="00000000">
              <w:rPr>
                <w:rtl w:val="0"/>
              </w:rPr>
            </w:r>
          </w:p>
          <w:p w:rsidR="00000000" w:rsidDel="00000000" w:rsidP="00000000" w:rsidRDefault="00000000" w:rsidRPr="00000000" w14:paraId="00000080">
            <w:pPr>
              <w:widowControl w:val="1"/>
              <w:numPr>
                <w:ilvl w:val="1"/>
                <w:numId w:val="1"/>
              </w:numPr>
              <w:shd w:fill="ffffff" w:val="clear"/>
              <w:tabs>
                <w:tab w:val="left" w:leader="none" w:pos="851"/>
              </w:tabs>
              <w:ind w:left="1440" w:hanging="360"/>
              <w:jc w:val="both"/>
              <w:rPr>
                <w:rFonts w:ascii="Arial" w:cs="Arial" w:eastAsia="Arial" w:hAnsi="Arial"/>
                <w:color w:val="222222"/>
                <w:sz w:val="24"/>
                <w:szCs w:val="24"/>
              </w:rPr>
            </w:pPr>
            <w:r w:rsidDel="00000000" w:rsidR="00000000" w:rsidRPr="00000000">
              <w:rPr>
                <w:rFonts w:ascii="Arial" w:cs="Arial" w:eastAsia="Arial" w:hAnsi="Arial"/>
                <w:sz w:val="24"/>
                <w:szCs w:val="24"/>
                <w:highlight w:val="yellow"/>
                <w:rtl w:val="0"/>
              </w:rPr>
              <w:t xml:space="preserve">[Risk management] </w:t>
              <w:tab/>
            </w:r>
            <w:r w:rsidDel="00000000" w:rsidR="00000000" w:rsidRPr="00000000">
              <w:rPr>
                <w:rtl w:val="0"/>
              </w:rPr>
            </w:r>
          </w:p>
          <w:p w:rsidR="00000000" w:rsidDel="00000000" w:rsidP="00000000" w:rsidRDefault="00000000" w:rsidRPr="00000000" w14:paraId="00000081">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[Stakeholder management] </w:t>
            </w:r>
            <w:r w:rsidDel="00000000" w:rsidR="00000000" w:rsidRPr="00000000">
              <w:rPr>
                <w:rtl w:val="0"/>
              </w:rPr>
            </w:r>
          </w:p>
          <w:p w:rsidR="00000000" w:rsidDel="00000000" w:rsidP="00000000" w:rsidRDefault="00000000" w:rsidRPr="00000000" w14:paraId="00000082">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[Supply chain] </w:t>
            </w:r>
            <w:r w:rsidDel="00000000" w:rsidR="00000000" w:rsidRPr="00000000">
              <w:rPr>
                <w:rtl w:val="0"/>
              </w:rPr>
            </w:r>
          </w:p>
          <w:p w:rsidR="00000000" w:rsidDel="00000000" w:rsidP="00000000" w:rsidRDefault="00000000" w:rsidRPr="00000000" w14:paraId="00000083">
            <w:pPr>
              <w:widowControl w:val="1"/>
              <w:numPr>
                <w:ilvl w:val="1"/>
                <w:numId w:val="1"/>
              </w:numPr>
              <w:tabs>
                <w:tab w:val="left" w:leader="none" w:pos="851"/>
              </w:tabs>
              <w:spacing w:after="120" w:lineRule="auto"/>
              <w:ind w:left="1440" w:hanging="36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yellow"/>
                <w:rtl w:val="0"/>
              </w:rPr>
              <w:t xml:space="preserve">[Technical requirements]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4">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- 90% </w:t>
            </w:r>
          </w:p>
          <w:p w:rsidR="00000000" w:rsidDel="00000000" w:rsidP="00000000" w:rsidRDefault="00000000" w:rsidRPr="00000000" w14:paraId="00000085">
            <w:pPr>
              <w:widowControl w:val="1"/>
              <w:tabs>
                <w:tab w:val="left" w:leader="none" w:pos="851"/>
              </w:tabs>
              <w:spacing w:after="120" w:before="24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The weighting for each sub criteria can range between (0% to 90%). The total sub criteria weighting should total your overall quality weighting and must be a minimum of 10% and a maximum of 90%. </w:t>
            </w:r>
          </w:p>
          <w:p w:rsidR="00000000" w:rsidDel="00000000" w:rsidP="00000000" w:rsidRDefault="00000000" w:rsidRPr="00000000" w14:paraId="00000086">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 example, 75% quality weighting could be broken down as follows:</w:t>
            </w:r>
          </w:p>
          <w:p w:rsidR="00000000" w:rsidDel="00000000" w:rsidP="00000000" w:rsidRDefault="00000000" w:rsidRPr="00000000" w14:paraId="00000087">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Mobilisation = 25%</w:t>
            </w:r>
          </w:p>
          <w:p w:rsidR="00000000" w:rsidDel="00000000" w:rsidP="00000000" w:rsidRDefault="00000000" w:rsidRPr="00000000" w14:paraId="00000088">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Project management = 25%</w:t>
            </w:r>
          </w:p>
          <w:p w:rsidR="00000000" w:rsidDel="00000000" w:rsidP="00000000" w:rsidRDefault="00000000" w:rsidRPr="00000000" w14:paraId="00000089">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Supply chain = 25%]</w:t>
            </w:r>
          </w:p>
        </w:tc>
      </w:tr>
      <w:tr>
        <w:trPr>
          <w:cantSplit w:val="0"/>
          <w:trHeight w:val="72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A">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B">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- 90%</w:t>
            </w:r>
          </w:p>
        </w:tc>
      </w:tr>
      <w:tr>
        <w:trPr>
          <w:cantSplit w:val="0"/>
          <w:trHeight w:val="1454"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C">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w:t>
            </w:r>
          </w:p>
          <w:p w:rsidR="00000000" w:rsidDel="00000000" w:rsidP="00000000" w:rsidRDefault="00000000" w:rsidRPr="00000000" w14:paraId="0000008D">
            <w:pPr>
              <w:widowControl w:val="1"/>
              <w:numPr>
                <w:ilvl w:val="0"/>
                <w:numId w:val="6"/>
              </w:numPr>
              <w:tabs>
                <w:tab w:val="left" w:leader="none" w:pos="851"/>
              </w:tabs>
              <w:spacing w:before="240" w:lineRule="auto"/>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1: COVID-19 recovery]</w:t>
            </w:r>
            <w:r w:rsidDel="00000000" w:rsidR="00000000" w:rsidRPr="00000000">
              <w:rPr>
                <w:rtl w:val="0"/>
              </w:rPr>
            </w:r>
          </w:p>
          <w:p w:rsidR="00000000" w:rsidDel="00000000" w:rsidP="00000000" w:rsidRDefault="00000000" w:rsidRPr="00000000" w14:paraId="0000008E">
            <w:pPr>
              <w:widowControl w:val="1"/>
              <w:numPr>
                <w:ilvl w:val="0"/>
                <w:numId w:val="6"/>
              </w:numPr>
              <w:tabs>
                <w:tab w:val="left" w:leader="none" w:pos="851"/>
              </w:tabs>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2: Tackling economic inequality]</w:t>
            </w:r>
            <w:r w:rsidDel="00000000" w:rsidR="00000000" w:rsidRPr="00000000">
              <w:rPr>
                <w:rtl w:val="0"/>
              </w:rPr>
            </w:r>
          </w:p>
          <w:p w:rsidR="00000000" w:rsidDel="00000000" w:rsidP="00000000" w:rsidRDefault="00000000" w:rsidRPr="00000000" w14:paraId="0000008F">
            <w:pPr>
              <w:widowControl w:val="1"/>
              <w:numPr>
                <w:ilvl w:val="0"/>
                <w:numId w:val="6"/>
              </w:numPr>
              <w:tabs>
                <w:tab w:val="left" w:leader="none" w:pos="851"/>
              </w:tabs>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3: Fighting climate change]</w:t>
            </w:r>
            <w:r w:rsidDel="00000000" w:rsidR="00000000" w:rsidRPr="00000000">
              <w:rPr>
                <w:rtl w:val="0"/>
              </w:rPr>
            </w:r>
          </w:p>
          <w:p w:rsidR="00000000" w:rsidDel="00000000" w:rsidP="00000000" w:rsidRDefault="00000000" w:rsidRPr="00000000" w14:paraId="00000090">
            <w:pPr>
              <w:widowControl w:val="1"/>
              <w:numPr>
                <w:ilvl w:val="0"/>
                <w:numId w:val="6"/>
              </w:numPr>
              <w:tabs>
                <w:tab w:val="left" w:leader="none" w:pos="851"/>
              </w:tabs>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4: Equal opportunity]</w:t>
            </w:r>
            <w:r w:rsidDel="00000000" w:rsidR="00000000" w:rsidRPr="00000000">
              <w:rPr>
                <w:rtl w:val="0"/>
              </w:rPr>
            </w:r>
          </w:p>
          <w:p w:rsidR="00000000" w:rsidDel="00000000" w:rsidP="00000000" w:rsidRDefault="00000000" w:rsidRPr="00000000" w14:paraId="00000091">
            <w:pPr>
              <w:widowControl w:val="1"/>
              <w:numPr>
                <w:ilvl w:val="0"/>
                <w:numId w:val="6"/>
              </w:numPr>
              <w:tabs>
                <w:tab w:val="left" w:leader="none" w:pos="851"/>
              </w:tabs>
              <w:spacing w:after="120" w:lineRule="auto"/>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[Theme 5: Wellbeing]</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92">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0% - 80%</w:t>
            </w:r>
          </w:p>
          <w:p w:rsidR="00000000" w:rsidDel="00000000" w:rsidP="00000000" w:rsidRDefault="00000000" w:rsidRPr="00000000" w14:paraId="00000093">
            <w:pPr>
              <w:widowControl w:val="1"/>
              <w:tabs>
                <w:tab w:val="left" w:leader="none" w:pos="851"/>
              </w:tabs>
              <w:spacing w:after="120" w:befor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A Central Government Body should comply with procurement policy note 06/20 and include a minimum of 10% weighting for social value]</w:t>
            </w:r>
          </w:p>
        </w:tc>
      </w:tr>
    </w:tbl>
    <w:p w:rsidR="00000000" w:rsidDel="00000000" w:rsidP="00000000" w:rsidRDefault="00000000" w:rsidRPr="00000000" w14:paraId="00000094">
      <w:pPr>
        <w:widowControl w:val="1"/>
        <w:tabs>
          <w:tab w:val="left" w:leader="none" w:pos="851"/>
        </w:tabs>
        <w:spacing w:after="240" w:lineRule="auto"/>
        <w:jc w:val="both"/>
        <w:rPr>
          <w:rFonts w:ascii="Arial" w:cs="Arial" w:eastAsia="Arial" w:hAnsi="Arial"/>
          <w:color w:val="1f1f1f"/>
          <w:sz w:val="24"/>
          <w:szCs w:val="24"/>
          <w:highlight w:val="white"/>
        </w:rPr>
      </w:pPr>
      <w:r w:rsidDel="00000000" w:rsidR="00000000" w:rsidRPr="00000000">
        <w:rPr>
          <w:rtl w:val="0"/>
        </w:rPr>
      </w:r>
    </w:p>
    <w:p w:rsidR="00000000" w:rsidDel="00000000" w:rsidP="00000000" w:rsidRDefault="00000000" w:rsidRPr="00000000" w14:paraId="00000095">
      <w:pPr>
        <w:pageBreakBefore w:val="0"/>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A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pPVQ34qC9nDalnxkNPKW6GFrzg==">CgMxLjAaHgoBMBIZChcICVITChF0YWJsZS5rbXAzMnJyMjkxbTIJaWQuZ2pkZ3hzMgloLjMwajB6bGwyCWguMWZvYjl0ZTIJaC4zem55c2g3MgloLjJldDkycDAyCGgudHlqY3d0MgloLjNkeTZ2a20yCWguMXQzaDVzZjIJaC40ZDM0b2c4MgloLjJzOGV5bzEyCWguMTdkcDh2dTIJaC4zcmRjcmpuMghoLmdqZGd4czgAciExY1JXM1pDNFVnT1BCZTgwdW9YY1prME5QRkhmZXZJN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